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92" w:rsidRDefault="00173192" w:rsidP="00173192">
      <w:pPr>
        <w:ind w:left="2124" w:firstLine="708"/>
        <w:rPr>
          <w:b/>
          <w:bCs/>
        </w:rPr>
      </w:pPr>
      <w:r>
        <w:t xml:space="preserve">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16304398" r:id="rId6"/>
        </w:object>
      </w:r>
    </w:p>
    <w:p w:rsidR="00173192" w:rsidRDefault="00173192" w:rsidP="00173192">
      <w:pPr>
        <w:jc w:val="center"/>
        <w:rPr>
          <w:b/>
          <w:bCs/>
        </w:rPr>
      </w:pPr>
    </w:p>
    <w:p w:rsidR="00173192" w:rsidRPr="003D0192" w:rsidRDefault="00173192" w:rsidP="00173192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173192" w:rsidRPr="003D0192" w:rsidRDefault="00173192" w:rsidP="00173192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НИЖНЕГОРСКОГО  РАЙОНА</w:t>
      </w:r>
    </w:p>
    <w:p w:rsidR="00173192" w:rsidRPr="003D0192" w:rsidRDefault="00173192" w:rsidP="00173192">
      <w:pPr>
        <w:jc w:val="center"/>
        <w:rPr>
          <w:b/>
          <w:bCs/>
          <w:sz w:val="28"/>
          <w:szCs w:val="28"/>
        </w:rPr>
      </w:pPr>
      <w:r w:rsidRPr="003D0192">
        <w:rPr>
          <w:b/>
          <w:bCs/>
          <w:sz w:val="28"/>
          <w:szCs w:val="28"/>
        </w:rPr>
        <w:t>РЕСПУБЛИКИ  КРЫМ</w:t>
      </w:r>
    </w:p>
    <w:p w:rsidR="00173192" w:rsidRDefault="00173192" w:rsidP="00173192">
      <w:pPr>
        <w:tabs>
          <w:tab w:val="left" w:pos="7650"/>
        </w:tabs>
        <w:jc w:val="center"/>
      </w:pPr>
    </w:p>
    <w:p w:rsidR="00173192" w:rsidRDefault="00173192" w:rsidP="00173192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РАСПОРЯЖЕНИЕ</w:t>
      </w: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12.11.2015 г.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</w:t>
      </w: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 утверждении </w:t>
      </w:r>
      <w:r w:rsidRPr="002916C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Порядка</w:t>
      </w:r>
      <w:r w:rsidRPr="002916C5">
        <w:rPr>
          <w:rFonts w:eastAsia="Calibri"/>
          <w:sz w:val="28"/>
          <w:szCs w:val="28"/>
          <w:lang w:eastAsia="en-US"/>
        </w:rPr>
        <w:t xml:space="preserve"> применения </w:t>
      </w:r>
    </w:p>
    <w:p w:rsidR="00173192" w:rsidRDefault="00173192" w:rsidP="00173192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бюджетной классификации Российской </w:t>
      </w:r>
    </w:p>
    <w:p w:rsidR="00173192" w:rsidRPr="002916C5" w:rsidRDefault="00173192" w:rsidP="00173192">
      <w:pPr>
        <w:widowControl w:val="0"/>
        <w:suppressAutoHyphens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916C5">
        <w:rPr>
          <w:rFonts w:eastAsia="Calibri"/>
          <w:sz w:val="28"/>
          <w:szCs w:val="28"/>
          <w:lang w:eastAsia="en-US"/>
        </w:rPr>
        <w:t xml:space="preserve">в части, относящейся к бюджету </w:t>
      </w:r>
    </w:p>
    <w:p w:rsidR="00173192" w:rsidRPr="002916C5" w:rsidRDefault="00173192" w:rsidP="0017319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173192" w:rsidRPr="002916C5" w:rsidRDefault="00173192" w:rsidP="00173192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Нижне</w:t>
      </w:r>
      <w:r>
        <w:rPr>
          <w:rFonts w:eastAsia="Calibri"/>
          <w:sz w:val="28"/>
          <w:szCs w:val="28"/>
          <w:lang w:eastAsia="en-US"/>
        </w:rPr>
        <w:t>горского района Республики Крым</w:t>
      </w:r>
    </w:p>
    <w:p w:rsidR="00173192" w:rsidRPr="002916C5" w:rsidRDefault="00173192" w:rsidP="00173192">
      <w:pPr>
        <w:widowControl w:val="0"/>
        <w:autoSpaceDE w:val="0"/>
        <w:autoSpaceDN w:val="0"/>
        <w:adjustRightInd w:val="0"/>
        <w:rPr>
          <w:b/>
          <w:bCs/>
          <w:noProof/>
          <w:sz w:val="28"/>
          <w:szCs w:val="28"/>
          <w:lang w:eastAsia="en-US"/>
        </w:rPr>
      </w:pPr>
    </w:p>
    <w:p w:rsidR="00173192" w:rsidRPr="002916C5" w:rsidRDefault="00173192" w:rsidP="00173192">
      <w:pPr>
        <w:ind w:firstLine="709"/>
        <w:jc w:val="both"/>
        <w:rPr>
          <w:noProof/>
          <w:sz w:val="28"/>
          <w:szCs w:val="28"/>
          <w:lang w:eastAsia="en-US"/>
        </w:rPr>
      </w:pPr>
    </w:p>
    <w:p w:rsidR="00173192" w:rsidRDefault="00173192" w:rsidP="00173192">
      <w:pPr>
        <w:ind w:firstLine="709"/>
        <w:jc w:val="both"/>
        <w:rPr>
          <w:noProof/>
          <w:sz w:val="28"/>
          <w:szCs w:val="28"/>
          <w:lang w:eastAsia="en-US"/>
        </w:rPr>
      </w:pPr>
      <w:r w:rsidRPr="002916C5">
        <w:rPr>
          <w:noProof/>
          <w:sz w:val="28"/>
          <w:szCs w:val="28"/>
          <w:lang w:eastAsia="en-US"/>
        </w:rPr>
        <w:t xml:space="preserve">В соответствии с </w:t>
      </w:r>
      <w:r>
        <w:rPr>
          <w:noProof/>
          <w:sz w:val="28"/>
          <w:szCs w:val="28"/>
          <w:lang w:eastAsia="en-US"/>
        </w:rPr>
        <w:t>пунктом</w:t>
      </w:r>
      <w:r w:rsidRPr="002916C5">
        <w:rPr>
          <w:noProof/>
          <w:sz w:val="28"/>
          <w:szCs w:val="28"/>
          <w:lang w:eastAsia="en-US"/>
        </w:rPr>
        <w:t xml:space="preserve"> 1 статьи 9 Бюджетного кодекса Российской Федерации, приказом Министерства финансов Российской Федерации от 01.07.2015 №65н «Об утверждении Указаний о порядке применения бюджетной классификации Российской Федерации» (в редакции приказа Министерства финансов Российской Федерации от 08.06.2015 №90н)</w:t>
      </w:r>
      <w:r>
        <w:rPr>
          <w:noProof/>
          <w:sz w:val="28"/>
          <w:szCs w:val="28"/>
          <w:lang w:eastAsia="en-US"/>
        </w:rPr>
        <w:t>,</w:t>
      </w:r>
    </w:p>
    <w:p w:rsidR="00173192" w:rsidRPr="002916C5" w:rsidRDefault="00173192" w:rsidP="00173192">
      <w:pPr>
        <w:ind w:firstLine="709"/>
        <w:jc w:val="both"/>
        <w:rPr>
          <w:noProof/>
          <w:color w:val="000000"/>
          <w:sz w:val="28"/>
          <w:szCs w:val="28"/>
          <w:lang w:eastAsia="en-US"/>
        </w:rPr>
      </w:pPr>
      <w:r w:rsidRPr="002916C5">
        <w:rPr>
          <w:noProof/>
          <w:sz w:val="28"/>
          <w:szCs w:val="28"/>
          <w:lang w:eastAsia="en-US"/>
        </w:rPr>
        <w:t xml:space="preserve"> </w:t>
      </w:r>
    </w:p>
    <w:p w:rsidR="00173192" w:rsidRPr="002916C5" w:rsidRDefault="00173192" w:rsidP="001731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6C5">
        <w:rPr>
          <w:sz w:val="28"/>
          <w:szCs w:val="28"/>
        </w:rPr>
        <w:t>1</w:t>
      </w:r>
      <w:r w:rsidRPr="002916C5">
        <w:rPr>
          <w:rFonts w:ascii="Arial" w:hAnsi="Arial" w:cs="Arial"/>
          <w:sz w:val="28"/>
          <w:szCs w:val="28"/>
        </w:rPr>
        <w:t xml:space="preserve">. </w:t>
      </w:r>
      <w:r w:rsidRPr="00291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hyperlink w:anchor="Par55" w:tooltip="Ссылка на текущий документ" w:history="1">
        <w:r w:rsidRPr="002916C5">
          <w:rPr>
            <w:sz w:val="28"/>
            <w:szCs w:val="28"/>
          </w:rPr>
          <w:t xml:space="preserve">Порядок применения бюджетной классификации Российской Федерации </w:t>
        </w:r>
        <w:proofErr w:type="spellStart"/>
        <w:r>
          <w:rPr>
            <w:sz w:val="28"/>
            <w:szCs w:val="28"/>
          </w:rPr>
          <w:t>Изобильненского</w:t>
        </w:r>
        <w:proofErr w:type="spellEnd"/>
        <w:r w:rsidRPr="002916C5">
          <w:rPr>
            <w:sz w:val="28"/>
            <w:szCs w:val="28"/>
          </w:rPr>
          <w:t xml:space="preserve"> сельского поселения Нижнегорского района Республики Крым</w:t>
        </w:r>
        <w:proofErr w:type="gramStart"/>
        <w:r w:rsidRPr="002916C5">
          <w:rPr>
            <w:sz w:val="28"/>
            <w:szCs w:val="28"/>
          </w:rPr>
          <w:t>.</w:t>
        </w:r>
        <w:r>
          <w:rPr>
            <w:sz w:val="28"/>
            <w:szCs w:val="28"/>
          </w:rPr>
          <w:t xml:space="preserve">, </w:t>
        </w:r>
        <w:proofErr w:type="gramEnd"/>
        <w:r>
          <w:rPr>
            <w:sz w:val="28"/>
            <w:szCs w:val="28"/>
          </w:rPr>
          <w:t>согласно приложения.</w:t>
        </w:r>
        <w:r w:rsidRPr="002916C5">
          <w:rPr>
            <w:sz w:val="28"/>
            <w:szCs w:val="28"/>
          </w:rPr>
          <w:t xml:space="preserve">  </w:t>
        </w:r>
      </w:hyperlink>
    </w:p>
    <w:p w:rsidR="00173192" w:rsidRPr="002916C5" w:rsidRDefault="00173192" w:rsidP="00173192">
      <w:pPr>
        <w:tabs>
          <w:tab w:val="right" w:leader="underscore" w:pos="3298"/>
          <w:tab w:val="right" w:pos="5165"/>
          <w:tab w:val="right" w:pos="6481"/>
          <w:tab w:val="right" w:pos="6836"/>
          <w:tab w:val="right" w:pos="8506"/>
          <w:tab w:val="right" w:pos="9078"/>
        </w:tabs>
        <w:spacing w:line="322" w:lineRule="exact"/>
        <w:ind w:right="20"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2916C5">
        <w:rPr>
          <w:sz w:val="28"/>
          <w:szCs w:val="28"/>
        </w:rPr>
        <w:t xml:space="preserve">2. </w:t>
      </w:r>
      <w:r w:rsidRPr="002916C5">
        <w:rPr>
          <w:rFonts w:eastAsia="Courier New"/>
          <w:color w:val="000000"/>
          <w:sz w:val="28"/>
          <w:szCs w:val="28"/>
          <w:lang w:bidi="ru-RU"/>
        </w:rPr>
        <w:t>Настоящее распоряжение вступает в силу с момента его подписания</w:t>
      </w:r>
      <w:r>
        <w:rPr>
          <w:rFonts w:eastAsia="Courier New"/>
          <w:color w:val="000000"/>
          <w:sz w:val="28"/>
          <w:szCs w:val="28"/>
          <w:lang w:bidi="ru-RU"/>
        </w:rPr>
        <w:t xml:space="preserve"> и обнародования</w:t>
      </w:r>
      <w:r w:rsidRPr="002916C5">
        <w:rPr>
          <w:rFonts w:eastAsia="Courier New"/>
          <w:color w:val="000000"/>
          <w:sz w:val="28"/>
          <w:szCs w:val="28"/>
          <w:lang w:bidi="ru-RU"/>
        </w:rPr>
        <w:t>.</w:t>
      </w:r>
    </w:p>
    <w:p w:rsidR="00173192" w:rsidRPr="002916C5" w:rsidRDefault="00173192" w:rsidP="00173192">
      <w:pPr>
        <w:spacing w:after="200" w:line="276" w:lineRule="auto"/>
        <w:ind w:firstLine="709"/>
        <w:jc w:val="both"/>
        <w:rPr>
          <w:sz w:val="28"/>
          <w:szCs w:val="28"/>
        </w:rPr>
      </w:pPr>
      <w:r w:rsidRPr="002916C5">
        <w:rPr>
          <w:noProof/>
          <w:sz w:val="28"/>
          <w:szCs w:val="28"/>
          <w:lang w:eastAsia="en-US"/>
        </w:rPr>
        <w:t>3. Контроль за исполнение настоящего распоряжения оставляю за собой.</w:t>
      </w:r>
    </w:p>
    <w:p w:rsidR="00173192" w:rsidRPr="002916C5" w:rsidRDefault="00173192" w:rsidP="0017319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173192" w:rsidRPr="002916C5" w:rsidRDefault="00173192" w:rsidP="0017319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73192" w:rsidRPr="002916C5" w:rsidRDefault="00173192" w:rsidP="00173192">
      <w:pPr>
        <w:ind w:firstLine="720"/>
        <w:jc w:val="both"/>
        <w:rPr>
          <w:sz w:val="28"/>
          <w:szCs w:val="28"/>
        </w:rPr>
      </w:pPr>
    </w:p>
    <w:p w:rsidR="00173192" w:rsidRPr="002916C5" w:rsidRDefault="00173192" w:rsidP="001731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73192" w:rsidRPr="002916C5" w:rsidRDefault="00173192" w:rsidP="00173192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73192" w:rsidRPr="00FA41FF" w:rsidRDefault="00173192" w:rsidP="00173192">
      <w:pPr>
        <w:rPr>
          <w:sz w:val="28"/>
          <w:szCs w:val="28"/>
        </w:rPr>
      </w:pPr>
      <w:r w:rsidRPr="00FA41FF">
        <w:rPr>
          <w:sz w:val="28"/>
          <w:szCs w:val="28"/>
        </w:rPr>
        <w:t xml:space="preserve">Председатель </w:t>
      </w:r>
      <w:proofErr w:type="spellStart"/>
      <w:r w:rsidRPr="00FA41FF">
        <w:rPr>
          <w:sz w:val="28"/>
          <w:szCs w:val="28"/>
        </w:rPr>
        <w:t>Изобильненского</w:t>
      </w:r>
      <w:proofErr w:type="spellEnd"/>
      <w:r w:rsidRPr="00FA41FF">
        <w:rPr>
          <w:sz w:val="28"/>
          <w:szCs w:val="28"/>
        </w:rPr>
        <w:t xml:space="preserve"> </w:t>
      </w:r>
      <w:proofErr w:type="gramStart"/>
      <w:r w:rsidRPr="00FA41FF">
        <w:rPr>
          <w:sz w:val="28"/>
          <w:szCs w:val="28"/>
        </w:rPr>
        <w:t>сельского</w:t>
      </w:r>
      <w:proofErr w:type="gramEnd"/>
    </w:p>
    <w:p w:rsidR="00173192" w:rsidRDefault="00173192" w:rsidP="0017319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820C0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A820C0">
        <w:rPr>
          <w:sz w:val="28"/>
          <w:szCs w:val="28"/>
        </w:rPr>
        <w:t>ета</w:t>
      </w:r>
      <w:r>
        <w:rPr>
          <w:sz w:val="28"/>
          <w:szCs w:val="28"/>
          <w:lang w:val="uk-UA"/>
        </w:rPr>
        <w:t xml:space="preserve"> - глава</w:t>
      </w:r>
      <w:r w:rsidRPr="00671AE9"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                                                         сельского поселения Нижнегорского района </w:t>
      </w:r>
    </w:p>
    <w:p w:rsidR="00173192" w:rsidRDefault="00173192" w:rsidP="00173192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Крым                                 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  <w:r>
        <w:rPr>
          <w:sz w:val="28"/>
          <w:szCs w:val="28"/>
        </w:rPr>
        <w:t xml:space="preserve">                                 </w:t>
      </w:r>
    </w:p>
    <w:p w:rsidR="00173192" w:rsidRPr="002916C5" w:rsidRDefault="00173192" w:rsidP="00173192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  <w:lang w:eastAsia="en-US"/>
        </w:rPr>
      </w:pPr>
    </w:p>
    <w:p w:rsidR="00173192" w:rsidRDefault="00173192" w:rsidP="00173192">
      <w:pPr>
        <w:ind w:left="6096"/>
        <w:rPr>
          <w:noProof/>
          <w:sz w:val="28"/>
          <w:szCs w:val="28"/>
          <w:lang w:eastAsia="en-US"/>
        </w:rPr>
      </w:pPr>
      <w:bookmarkStart w:id="0" w:name="Par43"/>
      <w:bookmarkStart w:id="1" w:name="Par48"/>
      <w:bookmarkEnd w:id="0"/>
      <w:bookmarkEnd w:id="1"/>
      <w:r w:rsidRPr="002916C5">
        <w:rPr>
          <w:noProof/>
          <w:sz w:val="28"/>
          <w:szCs w:val="28"/>
          <w:lang w:eastAsia="en-US"/>
        </w:rPr>
        <w:br w:type="page"/>
      </w:r>
      <w:r>
        <w:rPr>
          <w:noProof/>
          <w:sz w:val="28"/>
          <w:szCs w:val="28"/>
          <w:lang w:eastAsia="en-US"/>
        </w:rPr>
        <w:lastRenderedPageBreak/>
        <w:t>Приложение</w:t>
      </w:r>
    </w:p>
    <w:p w:rsidR="00173192" w:rsidRDefault="00173192" w:rsidP="00173192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>к рапоряжению администрации</w:t>
      </w:r>
    </w:p>
    <w:p w:rsidR="00173192" w:rsidRDefault="00173192" w:rsidP="00173192">
      <w:pPr>
        <w:ind w:left="6096"/>
        <w:rPr>
          <w:noProof/>
          <w:sz w:val="28"/>
          <w:szCs w:val="28"/>
          <w:lang w:eastAsia="en-US"/>
        </w:rPr>
      </w:pPr>
      <w:r>
        <w:rPr>
          <w:noProof/>
          <w:sz w:val="28"/>
          <w:szCs w:val="28"/>
          <w:lang w:eastAsia="en-US"/>
        </w:rPr>
        <w:t xml:space="preserve">Изобильненского сельского поселения от 12.11.2015 г. № 15 </w:t>
      </w:r>
    </w:p>
    <w:p w:rsidR="00173192" w:rsidRDefault="00173192" w:rsidP="00173192">
      <w:pPr>
        <w:rPr>
          <w:noProof/>
          <w:sz w:val="28"/>
          <w:szCs w:val="28"/>
          <w:lang w:eastAsia="en-US"/>
        </w:rPr>
      </w:pPr>
    </w:p>
    <w:p w:rsidR="00173192" w:rsidRDefault="00173192" w:rsidP="00173192">
      <w:pPr>
        <w:rPr>
          <w:noProof/>
          <w:sz w:val="28"/>
          <w:szCs w:val="28"/>
          <w:lang w:eastAsia="en-US"/>
        </w:rPr>
      </w:pPr>
    </w:p>
    <w:p w:rsidR="00173192" w:rsidRPr="002916C5" w:rsidRDefault="00173192" w:rsidP="001731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16C5">
        <w:rPr>
          <w:noProof/>
          <w:sz w:val="28"/>
          <w:szCs w:val="28"/>
          <w:lang w:eastAsia="en-US"/>
        </w:rPr>
        <w:t xml:space="preserve"> </w:t>
      </w:r>
      <w:r w:rsidRPr="002916C5">
        <w:rPr>
          <w:rFonts w:eastAsia="Calibri"/>
          <w:b/>
          <w:sz w:val="28"/>
          <w:szCs w:val="28"/>
          <w:lang w:eastAsia="en-US"/>
        </w:rPr>
        <w:t>Порядок</w:t>
      </w:r>
    </w:p>
    <w:p w:rsidR="00173192" w:rsidRPr="002916C5" w:rsidRDefault="00173192" w:rsidP="0017319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применения бюджетной классификации Российской Федерации</w:t>
      </w:r>
    </w:p>
    <w:p w:rsidR="00173192" w:rsidRPr="002916C5" w:rsidRDefault="00173192" w:rsidP="001731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 xml:space="preserve">в части, относящейся к бюджету </w:t>
      </w:r>
      <w:proofErr w:type="spellStart"/>
      <w:r>
        <w:rPr>
          <w:rFonts w:eastAsia="Calibri"/>
          <w:b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Pr="002916C5">
        <w:rPr>
          <w:rFonts w:eastAsia="Calibri"/>
          <w:b/>
          <w:sz w:val="28"/>
          <w:szCs w:val="28"/>
          <w:lang w:eastAsia="en-US"/>
        </w:rPr>
        <w:br/>
        <w:t>Нижнегорского района Республики Крым</w:t>
      </w:r>
    </w:p>
    <w:p w:rsidR="00173192" w:rsidRPr="002916C5" w:rsidRDefault="00173192" w:rsidP="0017319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73192" w:rsidRPr="002916C5" w:rsidRDefault="00173192" w:rsidP="0017319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173192" w:rsidRPr="002916C5" w:rsidRDefault="00173192" w:rsidP="0017319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73192" w:rsidRPr="002916C5" w:rsidRDefault="00173192" w:rsidP="001731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1.1. Порядок применения бюджетной классификации Российской Федерации в части, относящейся к бюджету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Нижнегорского района Республики Крым  (далее – Порядок) разработан в целях обеспечения формирования проекта бюджета 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  <w:proofErr w:type="gramStart"/>
      <w:r w:rsidRPr="002916C5"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173192" w:rsidRPr="002916C5" w:rsidRDefault="00173192" w:rsidP="001731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Классификация расходов бюджета (далее - классификация расходов) представляет собой группировку расходов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и отражает направление бюджетных средств на выполнение органами местного самоуправления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основных функций, решение социально-экономических задач.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Код классификации расходов состоит из двадцати знаков. Структура двадцатизначного кода классификации расходов (таблица 1) включает следующие составные части: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код главного распорядителя бюджетных средств (1-3 разряды);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код раздела (4-5 разряды);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код подраздела (6-7 разряды);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код целевой статьи (8-17 разряды);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код вида расходов (18-20 разряды).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3192" w:rsidRPr="002916C5" w:rsidRDefault="00173192" w:rsidP="00173192">
      <w:pPr>
        <w:suppressAutoHyphens/>
        <w:jc w:val="right"/>
        <w:rPr>
          <w:snapToGrid w:val="0"/>
          <w:sz w:val="28"/>
          <w:szCs w:val="28"/>
        </w:rPr>
      </w:pPr>
      <w:r w:rsidRPr="002916C5">
        <w:rPr>
          <w:snapToGrid w:val="0"/>
          <w:sz w:val="28"/>
          <w:szCs w:val="28"/>
        </w:rPr>
        <w:t>Таблица 1</w:t>
      </w:r>
    </w:p>
    <w:tbl>
      <w:tblPr>
        <w:tblW w:w="97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43"/>
        <w:gridCol w:w="198"/>
        <w:gridCol w:w="369"/>
        <w:gridCol w:w="567"/>
        <w:gridCol w:w="198"/>
        <w:gridCol w:w="369"/>
        <w:gridCol w:w="426"/>
        <w:gridCol w:w="198"/>
        <w:gridCol w:w="369"/>
        <w:gridCol w:w="425"/>
        <w:gridCol w:w="425"/>
        <w:gridCol w:w="425"/>
        <w:gridCol w:w="426"/>
        <w:gridCol w:w="198"/>
        <w:gridCol w:w="369"/>
        <w:gridCol w:w="425"/>
        <w:gridCol w:w="567"/>
        <w:gridCol w:w="425"/>
        <w:gridCol w:w="567"/>
        <w:gridCol w:w="198"/>
        <w:gridCol w:w="369"/>
        <w:gridCol w:w="56"/>
        <w:gridCol w:w="369"/>
        <w:gridCol w:w="198"/>
        <w:gridCol w:w="369"/>
        <w:gridCol w:w="549"/>
        <w:gridCol w:w="18"/>
      </w:tblGrid>
      <w:tr w:rsidR="00173192" w:rsidRPr="002916C5" w:rsidTr="00092834">
        <w:trPr>
          <w:gridAfter w:val="1"/>
          <w:wAfter w:w="18" w:type="dxa"/>
          <w:cantSplit/>
          <w:trHeight w:val="397"/>
        </w:trPr>
        <w:tc>
          <w:tcPr>
            <w:tcW w:w="978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Структура кода классификации расходов бюджета</w:t>
            </w:r>
          </w:p>
        </w:tc>
      </w:tr>
      <w:tr w:rsidR="00173192" w:rsidRPr="002916C5" w:rsidTr="00092834">
        <w:trPr>
          <w:gridAfter w:val="1"/>
          <w:wAfter w:w="18" w:type="dxa"/>
          <w:cantSplit/>
          <w:trHeight w:val="397"/>
        </w:trPr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spacing w:after="120"/>
              <w:jc w:val="center"/>
            </w:pPr>
            <w:r w:rsidRPr="002916C5">
              <w:t>Код главного распорядителя бюджетных средств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 xml:space="preserve"> Код  раздела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3192" w:rsidRPr="002916C5" w:rsidRDefault="00173192" w:rsidP="00092834">
            <w:pPr>
              <w:widowControl w:val="0"/>
              <w:suppressAutoHyphens/>
              <w:jc w:val="center"/>
            </w:pPr>
            <w:r w:rsidRPr="002916C5">
              <w:t>Код  подраздела</w:t>
            </w:r>
          </w:p>
        </w:tc>
        <w:tc>
          <w:tcPr>
            <w:tcW w:w="48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Код целевой статьи</w:t>
            </w:r>
          </w:p>
        </w:tc>
        <w:tc>
          <w:tcPr>
            <w:tcW w:w="191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Код вида расходов</w:t>
            </w:r>
          </w:p>
        </w:tc>
      </w:tr>
      <w:tr w:rsidR="00173192" w:rsidRPr="002916C5" w:rsidTr="00092834">
        <w:trPr>
          <w:gridAfter w:val="1"/>
          <w:wAfter w:w="18" w:type="dxa"/>
          <w:cantSplit/>
          <w:trHeight w:val="1440"/>
        </w:trPr>
        <w:tc>
          <w:tcPr>
            <w:tcW w:w="925" w:type="dxa"/>
            <w:gridSpan w:val="3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spacing w:after="120"/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4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</w:p>
        </w:tc>
        <w:tc>
          <w:tcPr>
            <w:tcW w:w="99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jc w:val="center"/>
              <w:rPr>
                <w:snapToGrid w:val="0"/>
              </w:rPr>
            </w:pPr>
            <w:r w:rsidRPr="002916C5">
              <w:t>Программная (непрограммная) статья</w:t>
            </w:r>
          </w:p>
          <w:p w:rsidR="00173192" w:rsidRPr="002916C5" w:rsidRDefault="00173192" w:rsidP="00092834">
            <w:pPr>
              <w:suppressAutoHyphens/>
              <w:jc w:val="center"/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ind w:left="50" w:hanging="50"/>
              <w:jc w:val="center"/>
            </w:pPr>
            <w:r w:rsidRPr="002916C5">
              <w:t>Направление расходов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192" w:rsidRPr="002916C5" w:rsidRDefault="00173192" w:rsidP="00092834">
            <w:pPr>
              <w:suppressAutoHyphens/>
              <w:ind w:left="113" w:right="113"/>
              <w:jc w:val="center"/>
            </w:pPr>
            <w:r w:rsidRPr="002916C5">
              <w:t>Группа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192" w:rsidRPr="002916C5" w:rsidRDefault="00173192" w:rsidP="00092834">
            <w:pPr>
              <w:suppressAutoHyphens/>
              <w:ind w:left="113" w:right="113"/>
              <w:jc w:val="center"/>
            </w:pPr>
            <w:r w:rsidRPr="002916C5">
              <w:t>Подгруппа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3192" w:rsidRPr="002916C5" w:rsidRDefault="00173192" w:rsidP="00092834">
            <w:pPr>
              <w:suppressAutoHyphens/>
              <w:ind w:left="113" w:right="113"/>
              <w:jc w:val="center"/>
            </w:pPr>
            <w:r w:rsidRPr="002916C5">
              <w:t>Элемент</w:t>
            </w:r>
          </w:p>
        </w:tc>
      </w:tr>
      <w:tr w:rsidR="00173192" w:rsidRPr="002916C5" w:rsidTr="00092834">
        <w:trPr>
          <w:trHeight w:val="240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</w:t>
            </w:r>
          </w:p>
        </w:tc>
        <w:tc>
          <w:tcPr>
            <w:tcW w:w="4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2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4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7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8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11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12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14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16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17</w:t>
            </w:r>
          </w:p>
        </w:tc>
        <w:tc>
          <w:tcPr>
            <w:tcW w:w="4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18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19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192" w:rsidRPr="002916C5" w:rsidRDefault="00173192" w:rsidP="00092834">
            <w:pPr>
              <w:suppressAutoHyphens/>
              <w:jc w:val="center"/>
            </w:pPr>
            <w:r w:rsidRPr="002916C5">
              <w:t>20</w:t>
            </w:r>
          </w:p>
        </w:tc>
      </w:tr>
    </w:tbl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lastRenderedPageBreak/>
        <w:t>1.2. Существенными требованиями утвержденной структуры классификации расходов являются: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отнесение расходов на реализацию функций общегосударственного характера на раздел 0100 "Общегосударственные вопросы";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отнесение расходов на руководство и управление в сфере установленных функций (административных расходов) на соответствующие указанным функциям разделы и подразделы классификации расходов;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- обособление бюджетных ассигнований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на реализацию: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непрограммных направлений деятельности муниципальных органов  - в 8-9 разрядах кода классификации расходов;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подпрограмм муниципальных программ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- в 10 разряде кода классификации расходов;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основных мероприятий в рамках подпрограмм муниципальных программ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– в 11-12 разрядах кода классификации расходов.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В случае принятия в установленном порядке решений об использовании средств резервного фонда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вышеуказанные расходы подлежат отражению по соответствующим разделам и подразделам классификации расходов, исходя из их отраслевой и ведомственной принадлежности.</w:t>
      </w:r>
    </w:p>
    <w:p w:rsidR="00173192" w:rsidRPr="002916C5" w:rsidRDefault="00173192" w:rsidP="0017319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173192" w:rsidRPr="002916C5" w:rsidRDefault="00173192" w:rsidP="00173192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2. Разделы, подразделы, целевые статьи и виды расходов</w:t>
      </w:r>
    </w:p>
    <w:p w:rsidR="00173192" w:rsidRPr="002916C5" w:rsidRDefault="00173192" w:rsidP="00173192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2.1. Классификация расходов содержит разделы, отражающие направление финансовых ресурсов на выполнение основных функций государства. Разделы детализированы подразделами, конкретизирующими направление бюджетных средств на выполнение функций государства в пределах разделов.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Перечень разделов и подразделов, применяемых при составлении проекта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приведен в приложении 2 к Приказу Минфина России от 01.07.2013 № 65н «Об утверждении Указаний о порядке применения бюджетной классификации Российской Федерации» (далее – Указания, утвержденные приказом Минфина России от 01.07.2013 № 65н).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2.2. Виды расходов детализируют направление финансового обеспечения расходов бюджетов по целевым статьям классификации расходов.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Перечень и правила применения единых для бюджетов бюджетной системы Российской Федерации групп, подгрупп и элементов видов расходов приведены в приложении 3 к Указаниям, утвержденным приказом Минфина России от 01.07.2013 № 65н.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2.3. Структура кода целевой статьи расходов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включает следующие составные части (таблица 2):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lastRenderedPageBreak/>
        <w:t xml:space="preserve">- код программного (непрограммного) направления расходов (8 и 9 разряды кода классификации расходов бюджета) - предназначен для кодирования муниципальных программ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непрограммных направлений деятельности;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- код подпрограммы (10 разряд кода классификации расходов бюджета) предназначен для кодирования подпрограмм, основных мероприятий муниципальных программ 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непрограммных направлений деятельности;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- 11 – 12 разряды кода классификации расходов </w:t>
      </w:r>
      <w:proofErr w:type="gramStart"/>
      <w:r w:rsidRPr="002916C5">
        <w:rPr>
          <w:rFonts w:eastAsia="Calibri"/>
          <w:sz w:val="28"/>
          <w:szCs w:val="28"/>
          <w:lang w:eastAsia="en-US"/>
        </w:rPr>
        <w:t>предназначен</w:t>
      </w:r>
      <w:proofErr w:type="gramEnd"/>
      <w:r w:rsidRPr="002916C5">
        <w:rPr>
          <w:rFonts w:eastAsia="Calibri"/>
          <w:sz w:val="28"/>
          <w:szCs w:val="28"/>
          <w:lang w:eastAsia="en-US"/>
        </w:rPr>
        <w:t xml:space="preserve"> для кодирования основных мероприятий подпрограммы (имеют значение – 00, в случае отсутствия подпрограммы).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- код направления расходов (13 - 17 разряды кода классификации расходов бюджета) -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173192" w:rsidRPr="002916C5" w:rsidRDefault="00173192" w:rsidP="00173192">
      <w:pPr>
        <w:suppressAutoHyphens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Таблица 2</w:t>
      </w:r>
    </w:p>
    <w:tbl>
      <w:tblPr>
        <w:tblW w:w="96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134"/>
        <w:gridCol w:w="2546"/>
        <w:gridCol w:w="1132"/>
        <w:gridCol w:w="848"/>
        <w:gridCol w:w="579"/>
        <w:gridCol w:w="567"/>
        <w:gridCol w:w="567"/>
        <w:gridCol w:w="698"/>
        <w:gridCol w:w="30"/>
      </w:tblGrid>
      <w:tr w:rsidR="00173192" w:rsidRPr="002916C5" w:rsidTr="00092834">
        <w:trPr>
          <w:gridAfter w:val="1"/>
          <w:wAfter w:w="30" w:type="dxa"/>
          <w:trHeight w:val="229"/>
        </w:trPr>
        <w:tc>
          <w:tcPr>
            <w:tcW w:w="9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Целевая статья</w:t>
            </w:r>
          </w:p>
        </w:tc>
      </w:tr>
      <w:tr w:rsidR="00173192" w:rsidRPr="002916C5" w:rsidTr="00092834">
        <w:trPr>
          <w:gridAfter w:val="1"/>
          <w:wAfter w:w="30" w:type="dxa"/>
          <w:trHeight w:val="1233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Программное</w:t>
            </w:r>
          </w:p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(непрограммное) направление</w:t>
            </w:r>
          </w:p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расходов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Подпрограмма,</w:t>
            </w:r>
          </w:p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92" w:rsidRPr="002916C5" w:rsidRDefault="00173192" w:rsidP="00092834">
            <w:pPr>
              <w:tabs>
                <w:tab w:val="left" w:pos="73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Основное мероприятие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Направление</w:t>
            </w:r>
          </w:p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расходов </w:t>
            </w:r>
          </w:p>
        </w:tc>
      </w:tr>
      <w:tr w:rsidR="00173192" w:rsidRPr="002916C5" w:rsidTr="00092834">
        <w:trPr>
          <w:trHeight w:val="4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9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15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16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17</w:t>
            </w:r>
          </w:p>
        </w:tc>
      </w:tr>
    </w:tbl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2.4. Целевым статьям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присваиваются уникальные коды, сформированные с применением буквенно-цифрового ряда: 0, 1, 2, 3, 4, 5, 6, 7, 8, 9, А, Б, В, Г, Д, Ж, И, К, Л, М, Н, О, </w:t>
      </w:r>
      <w:proofErr w:type="gramStart"/>
      <w:r w:rsidRPr="002916C5">
        <w:rPr>
          <w:rFonts w:eastAsia="Calibri"/>
          <w:sz w:val="28"/>
          <w:szCs w:val="28"/>
          <w:lang w:eastAsia="en-US"/>
        </w:rPr>
        <w:t>П</w:t>
      </w:r>
      <w:proofErr w:type="gramEnd"/>
      <w:r w:rsidRPr="002916C5">
        <w:rPr>
          <w:rFonts w:eastAsia="Calibri"/>
          <w:sz w:val="28"/>
          <w:szCs w:val="28"/>
          <w:lang w:eastAsia="en-US"/>
        </w:rPr>
        <w:t>, Р, С, Т, У, Ф, Ц, Ч, Ш, Щ, Э, Ю, Я, D, F, G, I, J, L, N, Q, R, S, U, V, W, Y, Z.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2.5. Коды и наименования целевых статей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характеризуют направление бюджетных ассигнований на реализацию: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муниципальных программ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и непрограммных направлений деятельности;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подпрограмм, основных мероприятий;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направлений расходов.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2.6. Применяются следующие направления расходов, требующие в соответствии с законодательством отражения по отдельным кодам бюджетной классификации в целях </w:t>
      </w:r>
      <w:proofErr w:type="gramStart"/>
      <w:r w:rsidRPr="002916C5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2916C5">
        <w:rPr>
          <w:rFonts w:eastAsia="Calibri"/>
          <w:sz w:val="28"/>
          <w:szCs w:val="28"/>
          <w:lang w:eastAsia="en-US"/>
        </w:rPr>
        <w:t xml:space="preserve"> их планированием, санкционированием и исполнением.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В соответствии с Указаниями, утвержденными приказом Минфина России от 01.07.2013   № 65н»: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30000 - 39990</w:t>
      </w:r>
      <w:r w:rsidRPr="002916C5">
        <w:rPr>
          <w:rFonts w:eastAsia="Calibri"/>
          <w:sz w:val="28"/>
          <w:szCs w:val="28"/>
          <w:lang w:eastAsia="en-US"/>
        </w:rPr>
        <w:t xml:space="preserve"> и </w:t>
      </w:r>
      <w:r w:rsidRPr="002916C5">
        <w:rPr>
          <w:rFonts w:eastAsia="Calibri"/>
          <w:b/>
          <w:sz w:val="28"/>
          <w:szCs w:val="28"/>
          <w:lang w:eastAsia="en-US"/>
        </w:rPr>
        <w:t>50000 – 59990</w:t>
      </w:r>
      <w:r w:rsidRPr="002916C5">
        <w:rPr>
          <w:rFonts w:eastAsia="Calibri"/>
          <w:sz w:val="28"/>
          <w:szCs w:val="28"/>
          <w:lang w:eastAsia="en-US"/>
        </w:rPr>
        <w:t xml:space="preserve"> используются для отражения расходов 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источником финансового обеспечения которых являются межбюджетные трансферты, предоставляемые из федерального бюджета (бюджетов государственных внебюджетных фондов </w:t>
      </w:r>
      <w:r w:rsidRPr="002916C5">
        <w:rPr>
          <w:rFonts w:eastAsia="Calibri"/>
          <w:sz w:val="28"/>
          <w:szCs w:val="28"/>
          <w:lang w:eastAsia="en-US"/>
        </w:rPr>
        <w:lastRenderedPageBreak/>
        <w:t>Российской Федерации);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R0000 - R9990</w:t>
      </w:r>
      <w:r w:rsidRPr="002916C5">
        <w:rPr>
          <w:rFonts w:eastAsia="Calibri"/>
          <w:sz w:val="28"/>
          <w:szCs w:val="28"/>
          <w:lang w:eastAsia="en-US"/>
        </w:rPr>
        <w:t xml:space="preserve"> - для отражения расходов бюджета Республики Крым, в том числе расходов на предоставление межбюджетных трансфертов бюджету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в целях </w:t>
      </w:r>
      <w:proofErr w:type="spellStart"/>
      <w:r w:rsidRPr="002916C5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которых бюджетам субъектов Российской Федерации предоставляются из федерального бюджета субсидии.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L0000 - L9990</w:t>
      </w:r>
      <w:r w:rsidRPr="002916C5">
        <w:rPr>
          <w:rFonts w:eastAsia="Calibri"/>
          <w:sz w:val="28"/>
          <w:szCs w:val="28"/>
          <w:lang w:eastAsia="en-US"/>
        </w:rPr>
        <w:t xml:space="preserve"> - для отражения расходов бюджета</w:t>
      </w:r>
      <w:r w:rsidRPr="002916C5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в том числе расходов на предоставление межбюджетных трансфертов бюджету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в целях </w:t>
      </w:r>
      <w:proofErr w:type="spellStart"/>
      <w:r w:rsidRPr="002916C5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которых из бюджета Республики Крым предоставляются межбюджетные трансферты за счет субсидий из федерального бюджета;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color w:val="000000"/>
          <w:sz w:val="28"/>
          <w:szCs w:val="28"/>
          <w:lang w:bidi="ru-RU"/>
        </w:rPr>
        <w:t xml:space="preserve">Аналогично применяется принцип присвоения кодов направлений расходов, содержащих значения  </w:t>
      </w:r>
      <w:r w:rsidRPr="002916C5">
        <w:rPr>
          <w:b/>
          <w:color w:val="000000"/>
          <w:sz w:val="28"/>
          <w:szCs w:val="28"/>
          <w:lang w:val="en-US" w:bidi="ru-RU"/>
        </w:rPr>
        <w:t>S</w:t>
      </w:r>
      <w:r w:rsidRPr="002916C5">
        <w:rPr>
          <w:b/>
          <w:color w:val="000000"/>
          <w:sz w:val="28"/>
          <w:szCs w:val="28"/>
          <w:lang w:bidi="ru-RU"/>
        </w:rPr>
        <w:t>0000-</w:t>
      </w:r>
      <w:r w:rsidRPr="002916C5">
        <w:rPr>
          <w:b/>
          <w:color w:val="000000"/>
          <w:sz w:val="28"/>
          <w:szCs w:val="28"/>
          <w:lang w:val="en-US" w:bidi="ru-RU"/>
        </w:rPr>
        <w:t>S</w:t>
      </w:r>
      <w:r w:rsidRPr="002916C5">
        <w:rPr>
          <w:b/>
          <w:color w:val="000000"/>
          <w:sz w:val="28"/>
          <w:szCs w:val="28"/>
          <w:lang w:bidi="ru-RU"/>
        </w:rPr>
        <w:t>9990</w:t>
      </w:r>
      <w:r w:rsidRPr="002916C5">
        <w:rPr>
          <w:color w:val="000000"/>
          <w:sz w:val="28"/>
          <w:szCs w:val="28"/>
          <w:lang w:bidi="ru-RU"/>
        </w:rPr>
        <w:t xml:space="preserve">, в случае </w:t>
      </w:r>
      <w:proofErr w:type="spellStart"/>
      <w:r w:rsidRPr="002916C5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2916C5">
        <w:rPr>
          <w:color w:val="000000"/>
          <w:sz w:val="28"/>
          <w:szCs w:val="28"/>
          <w:lang w:bidi="ru-RU"/>
        </w:rPr>
        <w:t xml:space="preserve"> расходного обязательства муниципального образования из бюджета субъекта Российской Федерации, </w:t>
      </w:r>
      <w:proofErr w:type="gramStart"/>
      <w:r w:rsidRPr="002916C5">
        <w:rPr>
          <w:color w:val="000000"/>
          <w:sz w:val="28"/>
          <w:szCs w:val="28"/>
          <w:lang w:bidi="ru-RU"/>
        </w:rPr>
        <w:t>без</w:t>
      </w:r>
      <w:proofErr w:type="gramEnd"/>
      <w:r w:rsidRPr="002916C5">
        <w:rPr>
          <w:color w:val="000000"/>
          <w:sz w:val="28"/>
          <w:szCs w:val="28"/>
          <w:lang w:bidi="ru-RU"/>
        </w:rPr>
        <w:t xml:space="preserve"> соответствующего </w:t>
      </w:r>
      <w:proofErr w:type="spellStart"/>
      <w:r w:rsidRPr="002916C5">
        <w:rPr>
          <w:color w:val="000000"/>
          <w:sz w:val="28"/>
          <w:szCs w:val="28"/>
          <w:lang w:bidi="ru-RU"/>
        </w:rPr>
        <w:t>софинансирования</w:t>
      </w:r>
      <w:proofErr w:type="spellEnd"/>
      <w:r w:rsidRPr="002916C5">
        <w:rPr>
          <w:color w:val="000000"/>
          <w:sz w:val="28"/>
          <w:szCs w:val="28"/>
          <w:lang w:bidi="ru-RU"/>
        </w:rPr>
        <w:t xml:space="preserve"> из федерального бюджета;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Направления расходов, конкретизирующие основное мероприятие муниципальных программ и непрограммных расходов (разрядов 13 - 17 кода целевой статьи), группируются по следующим направлениям: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00010-09990</w:t>
      </w:r>
      <w:r w:rsidRPr="002916C5">
        <w:rPr>
          <w:rFonts w:eastAsia="Calibri"/>
          <w:sz w:val="28"/>
          <w:szCs w:val="28"/>
          <w:lang w:eastAsia="en-US"/>
        </w:rPr>
        <w:t xml:space="preserve"> – расходы на обеспечение выполнения функций муниципальных органов и обеспечение деятельности муниципальных подведомственных учреждений (с учетом применения, в том числе универсальных кодов, в соответствии с Указаниями, утвержденными приказом Минфина России от 01.07.2013 № 65н»);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10000-19990</w:t>
      </w:r>
      <w:r w:rsidRPr="002916C5">
        <w:rPr>
          <w:rFonts w:eastAsia="Calibri"/>
          <w:sz w:val="28"/>
          <w:szCs w:val="28"/>
          <w:lang w:eastAsia="en-US"/>
        </w:rPr>
        <w:t xml:space="preserve"> – расходы на исполнение публичных и публичных нормативных обязательств социального и несоциального характера за счет средств бюджета Республики Крым и бюджета</w:t>
      </w:r>
      <w:r w:rsidRPr="002916C5">
        <w:rPr>
          <w:rFonts w:ascii="Calibri" w:eastAsia="Calibri" w:hAnsi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поселения. 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20000-29990</w:t>
      </w:r>
      <w:r w:rsidRPr="002916C5">
        <w:rPr>
          <w:rFonts w:eastAsia="Calibri"/>
          <w:sz w:val="28"/>
          <w:szCs w:val="28"/>
          <w:lang w:eastAsia="en-US"/>
        </w:rPr>
        <w:t xml:space="preserve"> – расходы на обеспечение мероприятий (в том числе иные адресно-целевые направления расходов);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16C5">
        <w:rPr>
          <w:rFonts w:eastAsia="Calibri"/>
          <w:b/>
          <w:sz w:val="28"/>
          <w:szCs w:val="28"/>
          <w:lang w:eastAsia="en-US"/>
        </w:rPr>
        <w:t>40000-49990</w:t>
      </w:r>
      <w:r w:rsidRPr="002916C5">
        <w:rPr>
          <w:rFonts w:eastAsia="Calibri"/>
          <w:sz w:val="28"/>
          <w:szCs w:val="28"/>
          <w:lang w:eastAsia="en-US"/>
        </w:rPr>
        <w:t xml:space="preserve"> – расходы на осуществление капитальных вложений, в том числе предоставление субсидий бюджетным и автономным учреждениям,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бюджетных инвестиций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предприятиями.</w:t>
      </w:r>
      <w:proofErr w:type="gramEnd"/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16C5">
        <w:rPr>
          <w:rFonts w:eastAsia="Calibri"/>
          <w:b/>
          <w:sz w:val="28"/>
          <w:szCs w:val="28"/>
          <w:lang w:eastAsia="en-US"/>
        </w:rPr>
        <w:t>60000-69990</w:t>
      </w:r>
      <w:r w:rsidRPr="002916C5">
        <w:rPr>
          <w:rFonts w:eastAsia="Calibri"/>
          <w:sz w:val="28"/>
          <w:szCs w:val="28"/>
          <w:lang w:eastAsia="en-US"/>
        </w:rPr>
        <w:t xml:space="preserve"> – расходы на предоставление субсидий юридическим лицам, не являющимися муниципальными учреждениями, индивидуальным предпринимателям, физическим лицам - производителям товаров, работ, услуг, а также некоммерческим организациям, не являющимся муниципальными учреждениями;</w:t>
      </w:r>
      <w:proofErr w:type="gramEnd"/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70000-79990</w:t>
      </w:r>
      <w:r w:rsidRPr="002916C5">
        <w:rPr>
          <w:rFonts w:eastAsia="Calibri"/>
          <w:sz w:val="28"/>
          <w:szCs w:val="28"/>
          <w:lang w:eastAsia="en-US"/>
        </w:rPr>
        <w:t xml:space="preserve"> – расходы на предоставление межбюджетных трансфертов бюджету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за счет средств бюджета Республики Крым, Территориальному фонду ОМС Республики Крым, за исключением расходов, на предоставление межбюджетных трансфертов местным </w:t>
      </w:r>
      <w:r w:rsidRPr="002916C5">
        <w:rPr>
          <w:rFonts w:eastAsia="Calibri"/>
          <w:sz w:val="28"/>
          <w:szCs w:val="28"/>
          <w:lang w:eastAsia="en-US"/>
        </w:rPr>
        <w:lastRenderedPageBreak/>
        <w:t xml:space="preserve">бюджетам, в целях </w:t>
      </w:r>
      <w:proofErr w:type="spellStart"/>
      <w:r w:rsidRPr="002916C5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которых, бюджетам субъектов Российской Федерации предоставляются из федерального бюджета субсидии.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b/>
          <w:sz w:val="28"/>
          <w:szCs w:val="28"/>
          <w:lang w:eastAsia="en-US"/>
        </w:rPr>
        <w:t>90000 – 99990</w:t>
      </w:r>
      <w:r w:rsidRPr="002916C5">
        <w:rPr>
          <w:rFonts w:eastAsia="Calibri"/>
          <w:sz w:val="28"/>
          <w:szCs w:val="28"/>
          <w:lang w:eastAsia="en-US"/>
        </w:rPr>
        <w:t xml:space="preserve"> - прочие программные и непрограммные направления расходов, в том числе расходы за счет резервного фонда 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расходы на обслуживание муниципального долга.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2.7. Расходы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источником финансового обеспечения которых являются межбюджетные трансферты из бюджета Республики Крым, отражаются по соответствующим целевым статьям с использованием направления целевой статьи расходов (13-17 разряды кода классификации расходов), применяемого при отражении расходов бюджета Республики Крым на предоставление вышеуказанных межбюджетных трансфертов. При этом наименование указанного направления расходов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не включает указание на наименование трансферта, являющегося источником финансового обеспечения расходов соответствующего бюджета.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916C5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вправе установить необходимую детализацию пятого разряда кодов направлений расходов, содержащих значения </w:t>
      </w:r>
      <w:r w:rsidRPr="002916C5">
        <w:rPr>
          <w:rFonts w:eastAsia="Calibri"/>
          <w:b/>
          <w:sz w:val="28"/>
          <w:szCs w:val="28"/>
          <w:lang w:eastAsia="en-US"/>
        </w:rPr>
        <w:t>70000-79990</w:t>
      </w:r>
      <w:r w:rsidRPr="002916C5">
        <w:rPr>
          <w:rFonts w:eastAsia="Calibri"/>
          <w:sz w:val="28"/>
          <w:szCs w:val="28"/>
          <w:lang w:eastAsia="en-US"/>
        </w:rPr>
        <w:t xml:space="preserve"> и </w:t>
      </w:r>
      <w:r w:rsidRPr="002916C5">
        <w:rPr>
          <w:rFonts w:eastAsia="Calibri"/>
          <w:b/>
          <w:sz w:val="28"/>
          <w:szCs w:val="28"/>
          <w:lang w:eastAsia="en-US"/>
        </w:rPr>
        <w:t>R0000-R9990</w:t>
      </w:r>
      <w:r w:rsidRPr="002916C5">
        <w:rPr>
          <w:rFonts w:eastAsia="Calibri"/>
          <w:sz w:val="28"/>
          <w:szCs w:val="28"/>
          <w:lang w:eastAsia="en-US"/>
        </w:rPr>
        <w:t xml:space="preserve">, при отражении расходов бюджета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поселения, источником финансового обеспечения которых являются межбюджетные трансферты из бюджета Республики Крым, по направлениям расходов в рамках целевого назначения предоставляемых межбюджетных трансфертов (в случае, если 17-й разряд кода классификации расходов бюджета, из которого предоставляется межбюджетный трансферт</w:t>
      </w:r>
      <w:proofErr w:type="gramEnd"/>
      <w:r w:rsidRPr="002916C5">
        <w:rPr>
          <w:rFonts w:eastAsia="Calibri"/>
          <w:sz w:val="28"/>
          <w:szCs w:val="28"/>
          <w:lang w:eastAsia="en-US"/>
        </w:rPr>
        <w:t>, равен "0").</w:t>
      </w:r>
      <w:r w:rsidRPr="002916C5">
        <w:rPr>
          <w:sz w:val="28"/>
          <w:szCs w:val="28"/>
          <w:lang w:bidi="ru-RU"/>
        </w:rPr>
        <w:t xml:space="preserve"> При формировании  кодов целевых статей расходов, содержащих направления расходов бюджетов субъектов Российской Федерации и местных бюджетов (</w:t>
      </w:r>
      <w:r w:rsidRPr="002916C5">
        <w:rPr>
          <w:rFonts w:eastAsia="Calibri"/>
          <w:b/>
          <w:sz w:val="28"/>
          <w:szCs w:val="28"/>
          <w:lang w:eastAsia="en-US"/>
        </w:rPr>
        <w:t>R0000 - R9990</w:t>
      </w:r>
      <w:r w:rsidRPr="002916C5">
        <w:rPr>
          <w:rFonts w:eastAsia="Calibri"/>
          <w:sz w:val="28"/>
          <w:szCs w:val="28"/>
          <w:lang w:eastAsia="en-US"/>
        </w:rPr>
        <w:t xml:space="preserve"> ,</w:t>
      </w:r>
      <w:r w:rsidRPr="002916C5">
        <w:rPr>
          <w:rFonts w:eastAsia="Calibri"/>
          <w:b/>
          <w:sz w:val="28"/>
          <w:szCs w:val="28"/>
          <w:lang w:eastAsia="en-US"/>
        </w:rPr>
        <w:t xml:space="preserve"> L0000 - L9990, </w:t>
      </w:r>
      <w:r w:rsidRPr="002916C5">
        <w:rPr>
          <w:rFonts w:eastAsia="Calibri"/>
          <w:sz w:val="28"/>
          <w:szCs w:val="28"/>
          <w:lang w:eastAsia="en-US"/>
        </w:rPr>
        <w:t xml:space="preserve"> </w:t>
      </w:r>
      <w:r w:rsidRPr="002916C5">
        <w:rPr>
          <w:sz w:val="28"/>
          <w:szCs w:val="28"/>
          <w:lang w:bidi="ru-RU"/>
        </w:rPr>
        <w:t>S0000-S9990), обеспечивается на уровне второго-пятого разрядов направлений расходов с кодами направлений расходов бюджета, предоставляющего соответствующую субсидию.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2.8. Увязка универсальных направлений расходов с подпрограммой, основным мероприятием муниципальной программы городского округа Армянск устанавливается по следующей структуре кода целевой статьи (таблица 3):</w:t>
      </w:r>
    </w:p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73192" w:rsidRPr="002916C5" w:rsidRDefault="00173192" w:rsidP="00173192">
      <w:pPr>
        <w:suppressAutoHyphens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>Таблица 3</w:t>
      </w:r>
    </w:p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73192" w:rsidRPr="002916C5" w:rsidTr="00092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ХХ 0 00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Муниципальная программа </w:t>
            </w:r>
            <w:proofErr w:type="spellStart"/>
            <w:r>
              <w:rPr>
                <w:rFonts w:eastAsia="Calibri"/>
                <w:lang w:eastAsia="en-US"/>
              </w:rPr>
              <w:t>Изобильненского</w:t>
            </w:r>
            <w:proofErr w:type="spellEnd"/>
            <w:r w:rsidRPr="002916C5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173192" w:rsidRPr="002916C5" w:rsidTr="00092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00 Х 00 00000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Подпрограмма, основное мероприятие муниципальной программы </w:t>
            </w:r>
            <w:proofErr w:type="spellStart"/>
            <w:r>
              <w:rPr>
                <w:rFonts w:eastAsia="Calibri"/>
                <w:lang w:eastAsia="en-US"/>
              </w:rPr>
              <w:t>Изобильненского</w:t>
            </w:r>
            <w:proofErr w:type="spellEnd"/>
            <w:r w:rsidRPr="002916C5">
              <w:rPr>
                <w:rFonts w:eastAsia="Calibri"/>
                <w:lang w:eastAsia="en-US"/>
              </w:rPr>
              <w:t xml:space="preserve"> сельского поселения. </w:t>
            </w:r>
          </w:p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10 разряд кода классификации расходов бюджета – уникальный код, сформированный с применением буквенно-цифрового ряда: 1, 2, 3, 4, 5, 6, 7, 8, 9, А, Б, В, Г, Д, Ж, И, К, Л, М, Н, О, </w:t>
            </w:r>
            <w:proofErr w:type="gramStart"/>
            <w:r w:rsidRPr="002916C5">
              <w:rPr>
                <w:rFonts w:eastAsia="Calibri"/>
                <w:lang w:eastAsia="en-US"/>
              </w:rPr>
              <w:t>П</w:t>
            </w:r>
            <w:proofErr w:type="gramEnd"/>
            <w:r w:rsidRPr="002916C5">
              <w:rPr>
                <w:rFonts w:eastAsia="Calibri"/>
                <w:lang w:eastAsia="en-US"/>
              </w:rPr>
              <w:t>, Р, С, Т, У, Ф, Ц, Ч, Ш, Щ, Э, Ю, Я, D, F, G, I, J, L, N, Q, R, S, U, V, W, Y, Z.</w:t>
            </w:r>
          </w:p>
        </w:tc>
      </w:tr>
      <w:tr w:rsidR="00173192" w:rsidRPr="002916C5" w:rsidTr="0009283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00 0 00 </w:t>
            </w:r>
            <w:r w:rsidRPr="002916C5">
              <w:rPr>
                <w:rFonts w:eastAsia="Calibri"/>
                <w:lang w:val="en-US" w:eastAsia="en-US"/>
              </w:rPr>
              <w:t>XXX</w:t>
            </w:r>
            <w:proofErr w:type="gramStart"/>
            <w:r w:rsidRPr="002916C5">
              <w:rPr>
                <w:rFonts w:eastAsia="Calibri"/>
                <w:lang w:eastAsia="en-US"/>
              </w:rPr>
              <w:t>ХХ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 xml:space="preserve">Направление расходов на реализацию подпрограммы, основного мероприятия муниципальной программы </w:t>
            </w:r>
            <w:proofErr w:type="spellStart"/>
            <w:r>
              <w:rPr>
                <w:rFonts w:eastAsia="Calibri"/>
                <w:lang w:eastAsia="en-US"/>
              </w:rPr>
              <w:t>Изобильненского</w:t>
            </w:r>
            <w:proofErr w:type="spellEnd"/>
            <w:r w:rsidRPr="002916C5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</w:tbl>
    <w:p w:rsidR="00173192" w:rsidRPr="002916C5" w:rsidRDefault="00173192" w:rsidP="00173192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16C5">
        <w:rPr>
          <w:rFonts w:eastAsia="Calibri"/>
          <w:sz w:val="28"/>
          <w:szCs w:val="28"/>
          <w:lang w:eastAsia="en-US"/>
        </w:rPr>
        <w:t xml:space="preserve">2.9. Увязка универсальных направлений расходов с непрограммным </w:t>
      </w:r>
      <w:r w:rsidRPr="002916C5">
        <w:rPr>
          <w:rFonts w:eastAsia="Calibri"/>
          <w:sz w:val="28"/>
          <w:szCs w:val="28"/>
          <w:lang w:eastAsia="en-US"/>
        </w:rPr>
        <w:lastRenderedPageBreak/>
        <w:t xml:space="preserve">направлением расходов </w:t>
      </w:r>
      <w:proofErr w:type="spellStart"/>
      <w:r>
        <w:rPr>
          <w:rFonts w:eastAsia="Calibri"/>
          <w:sz w:val="28"/>
          <w:szCs w:val="28"/>
          <w:lang w:eastAsia="en-US"/>
        </w:rPr>
        <w:t>Изобильненского</w:t>
      </w:r>
      <w:proofErr w:type="spellEnd"/>
      <w:r w:rsidRPr="002916C5">
        <w:rPr>
          <w:rFonts w:eastAsia="Calibri"/>
          <w:sz w:val="28"/>
          <w:szCs w:val="28"/>
          <w:lang w:eastAsia="en-US"/>
        </w:rPr>
        <w:t xml:space="preserve"> сельского поселения по следующей структуре кода целевой статьи (таблица 4):</w:t>
      </w:r>
    </w:p>
    <w:p w:rsidR="00173192" w:rsidRPr="002916C5" w:rsidRDefault="00173192" w:rsidP="00173192">
      <w:pPr>
        <w:suppressAutoHyphens/>
        <w:autoSpaceDE w:val="0"/>
        <w:autoSpaceDN w:val="0"/>
        <w:adjustRightInd w:val="0"/>
        <w:ind w:firstLine="709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916C5">
        <w:rPr>
          <w:rFonts w:eastAsia="Calibri"/>
          <w:color w:val="000000"/>
          <w:sz w:val="28"/>
          <w:szCs w:val="28"/>
          <w:lang w:eastAsia="en-US"/>
        </w:rPr>
        <w:t>Таблица 4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7X 0 00 00000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7X X 00 00000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Непрограммное направление расходов, региональная целевая программа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7X X 00 XXXXX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Направления реализации непрограммных расходов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8X 0 00 00000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8X X 00 00000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Непрограммное направление расходов, региональная целевая программа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lang w:eastAsia="en-US"/>
              </w:rPr>
            </w:pPr>
            <w:r w:rsidRPr="002916C5">
              <w:rPr>
                <w:rFonts w:eastAsia="Calibri"/>
                <w:lang w:eastAsia="en-US"/>
              </w:rPr>
              <w:t>8X X 00 XXXXX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Направления реализации непрограммных расходов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9Х 0 00 00000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Непрограммное направление деятельности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9Х Х 00 00000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Непрограммное направление расходов</w:t>
            </w:r>
          </w:p>
        </w:tc>
      </w:tr>
      <w:tr w:rsidR="00173192" w:rsidRPr="002916C5" w:rsidTr="00092834">
        <w:tc>
          <w:tcPr>
            <w:tcW w:w="2268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9Х Х 00 ХХХХХ</w:t>
            </w:r>
          </w:p>
        </w:tc>
        <w:tc>
          <w:tcPr>
            <w:tcW w:w="6804" w:type="dxa"/>
            <w:shd w:val="clear" w:color="auto" w:fill="auto"/>
          </w:tcPr>
          <w:p w:rsidR="00173192" w:rsidRPr="002916C5" w:rsidRDefault="00173192" w:rsidP="00092834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916C5">
              <w:rPr>
                <w:rFonts w:eastAsia="Calibri"/>
                <w:color w:val="000000"/>
                <w:lang w:eastAsia="en-US"/>
              </w:rPr>
              <w:t>Направления расходов на реализацию непрограммных мероприятий</w:t>
            </w:r>
          </w:p>
        </w:tc>
      </w:tr>
    </w:tbl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  <w:r>
        <w:t xml:space="preserve">        </w:t>
      </w: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</w:p>
    <w:p w:rsidR="00173192" w:rsidRDefault="00173192" w:rsidP="00173192">
      <w:pPr>
        <w:ind w:left="2124" w:firstLine="708"/>
      </w:pPr>
      <w:bookmarkStart w:id="2" w:name="_GoBack"/>
      <w:bookmarkEnd w:id="2"/>
    </w:p>
    <w:sectPr w:rsidR="00173192" w:rsidSect="001731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92"/>
    <w:rsid w:val="00173192"/>
    <w:rsid w:val="00A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3192"/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73192"/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2019-04-09T05:38:00Z</dcterms:created>
  <dcterms:modified xsi:type="dcterms:W3CDTF">2019-04-09T05:40:00Z</dcterms:modified>
</cp:coreProperties>
</file>