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0C" w:rsidRDefault="00A35F0C" w:rsidP="00A35F0C">
      <w:pPr>
        <w:widowControl w:val="0"/>
        <w:rPr>
          <w:b/>
          <w:bCs/>
        </w:rPr>
      </w:pPr>
      <w:r>
        <w:t xml:space="preserve">                                        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613823862" r:id="rId6"/>
        </w:object>
      </w:r>
    </w:p>
    <w:p w:rsidR="00A35F0C" w:rsidRDefault="00A35F0C" w:rsidP="00A35F0C">
      <w:pPr>
        <w:jc w:val="center"/>
        <w:rPr>
          <w:b/>
          <w:bCs/>
        </w:rPr>
      </w:pPr>
    </w:p>
    <w:p w:rsidR="00A35F0C" w:rsidRDefault="00A35F0C" w:rsidP="00A35F0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A35F0C" w:rsidRDefault="00A35F0C" w:rsidP="00A35F0C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A35F0C" w:rsidRDefault="00A35F0C" w:rsidP="00A35F0C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A35F0C" w:rsidRDefault="00A35F0C" w:rsidP="00A35F0C">
      <w:pPr>
        <w:tabs>
          <w:tab w:val="left" w:pos="7650"/>
        </w:tabs>
        <w:jc w:val="center"/>
      </w:pPr>
    </w:p>
    <w:p w:rsidR="00A35F0C" w:rsidRDefault="00A35F0C" w:rsidP="00A35F0C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A35F0C" w:rsidRDefault="00A35F0C" w:rsidP="00A35F0C">
      <w:pPr>
        <w:rPr>
          <w:rFonts w:eastAsia="Arial Unicode MS"/>
          <w:sz w:val="22"/>
          <w:szCs w:val="22"/>
          <w:u w:val="single"/>
        </w:rPr>
      </w:pPr>
      <w:r>
        <w:rPr>
          <w:rFonts w:eastAsia="Arial Unicode MS"/>
          <w:sz w:val="28"/>
          <w:szCs w:val="28"/>
        </w:rPr>
        <w:t xml:space="preserve">11.03.2019 г.                                    </w:t>
      </w:r>
      <w:proofErr w:type="spellStart"/>
      <w:r>
        <w:rPr>
          <w:rFonts w:eastAsia="Arial Unicode MS"/>
          <w:sz w:val="28"/>
          <w:szCs w:val="28"/>
        </w:rPr>
        <w:t>с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зобильное</w:t>
      </w:r>
      <w:proofErr w:type="spellEnd"/>
      <w:r>
        <w:rPr>
          <w:rFonts w:eastAsia="Arial Unicode MS"/>
          <w:sz w:val="28"/>
          <w:szCs w:val="28"/>
        </w:rPr>
        <w:t xml:space="preserve">                                      № </w:t>
      </w:r>
      <w:r>
        <w:rPr>
          <w:rFonts w:eastAsia="Arial Unicode MS"/>
          <w:sz w:val="28"/>
          <w:szCs w:val="28"/>
          <w:u w:val="single"/>
        </w:rPr>
        <w:t>22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Порядка предоставления мер                                                               муниципальной поддержки на проведение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капитального ремонта общего имущества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многоквартирных </w:t>
      </w:r>
      <w:proofErr w:type="gramStart"/>
      <w:r>
        <w:rPr>
          <w:rFonts w:eastAsia="Calibri"/>
          <w:sz w:val="28"/>
          <w:szCs w:val="28"/>
          <w:lang w:eastAsia="en-US"/>
        </w:rPr>
        <w:t>домах</w:t>
      </w:r>
      <w:proofErr w:type="gramEnd"/>
      <w:r>
        <w:rPr>
          <w:rFonts w:eastAsia="Calibri"/>
          <w:sz w:val="28"/>
          <w:szCs w:val="28"/>
          <w:lang w:eastAsia="en-US"/>
        </w:rPr>
        <w:t>, расположенных                                                                                   на территории  муниципального образования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Нижнегорского                                                         района Республики Крым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На основании статьи 166 Жилищного кодекса Российской Федерации 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 Закона Республики Крым от 19декабря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в соответствии с постановлением Совета министров Республики Крым от 30 ноября 2015 года № 753 «Об утверждении Региональной программы капитального ремонта общего имущества в многоквартирных домах на территории Республики Крым на 2016-2045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годы»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35F0C" w:rsidRDefault="00A35F0C" w:rsidP="00A35F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ПОСТАНОВЛЯЕТ: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 Утвердить прилагаемый Порядок предоставления мер муниципальной поддержки на проведение капитального ремонта общего имущества в многоквартирных домах расположенных на территории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Республики Крым. </w:t>
      </w:r>
    </w:p>
    <w:p w:rsidR="00A35F0C" w:rsidRDefault="00A35F0C" w:rsidP="00A35F0C">
      <w:pPr>
        <w:rPr>
          <w:rFonts w:eastAsia="Calibri"/>
          <w:color w:val="0070C0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на доске объявлений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и опубликовать на сайте: 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izobilnoe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sp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70C0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color w:val="0070C0"/>
          <w:sz w:val="28"/>
          <w:szCs w:val="28"/>
          <w:lang w:eastAsia="en-US"/>
        </w:rPr>
        <w:t>.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3.</w:t>
      </w:r>
      <w:r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подписания и обнародования.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4.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администрации </w:t>
      </w:r>
    </w:p>
    <w:p w:rsidR="00863423" w:rsidRDefault="00A35F0C" w:rsidP="00A35F0C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Изобильненского</w:t>
      </w:r>
      <w:proofErr w:type="spellEnd"/>
      <w:r>
        <w:rPr>
          <w:rFonts w:eastAsia="Calibri"/>
          <w:b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eastAsia="Calibri"/>
          <w:b/>
          <w:sz w:val="28"/>
          <w:szCs w:val="28"/>
        </w:rPr>
        <w:t>Л.Г.Назарова</w:t>
      </w:r>
      <w:proofErr w:type="spellEnd"/>
      <w:r>
        <w:rPr>
          <w:rFonts w:eastAsia="Calibri"/>
          <w:b/>
          <w:sz w:val="28"/>
          <w:szCs w:val="28"/>
        </w:rPr>
        <w:t xml:space="preserve">  </w:t>
      </w:r>
    </w:p>
    <w:p w:rsidR="00A35F0C" w:rsidRDefault="00A35F0C" w:rsidP="00A35F0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</w:p>
    <w:p w:rsidR="00A35F0C" w:rsidRDefault="00A35F0C" w:rsidP="00A35F0C">
      <w:pPr>
        <w:ind w:left="453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Приложение </w:t>
      </w:r>
    </w:p>
    <w:p w:rsidR="00A35F0C" w:rsidRDefault="00A35F0C" w:rsidP="00A35F0C">
      <w:pPr>
        <w:ind w:left="453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Постановлению администрации </w:t>
      </w:r>
    </w:p>
    <w:p w:rsidR="00A35F0C" w:rsidRDefault="00A35F0C" w:rsidP="00A35F0C">
      <w:pPr>
        <w:ind w:left="4536"/>
        <w:rPr>
          <w:sz w:val="28"/>
          <w:szCs w:val="28"/>
          <w:u w:val="single"/>
          <w:lang w:eastAsia="zh-CN"/>
        </w:rPr>
      </w:pPr>
      <w:proofErr w:type="spellStart"/>
      <w:r>
        <w:rPr>
          <w:sz w:val="28"/>
          <w:szCs w:val="28"/>
          <w:lang w:eastAsia="zh-CN"/>
        </w:rPr>
        <w:t>Изобильненского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br/>
        <w:t xml:space="preserve"> от 11.03. 2019 г. №   </w:t>
      </w:r>
      <w:r>
        <w:rPr>
          <w:sz w:val="28"/>
          <w:szCs w:val="28"/>
          <w:u w:val="single"/>
          <w:lang w:eastAsia="zh-CN"/>
        </w:rPr>
        <w:t>22</w:t>
      </w:r>
    </w:p>
    <w:p w:rsidR="00A35F0C" w:rsidRDefault="00A35F0C" w:rsidP="00A35F0C">
      <w:pPr>
        <w:rPr>
          <w:sz w:val="28"/>
          <w:szCs w:val="28"/>
        </w:rPr>
      </w:pPr>
    </w:p>
    <w:p w:rsidR="00A35F0C" w:rsidRDefault="00A35F0C" w:rsidP="00A35F0C">
      <w:pPr>
        <w:rPr>
          <w:b/>
          <w:bCs/>
          <w:sz w:val="28"/>
          <w:szCs w:val="28"/>
        </w:rPr>
      </w:pPr>
    </w:p>
    <w:p w:rsidR="00A35F0C" w:rsidRDefault="00A35F0C" w:rsidP="00A35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5F0C" w:rsidRDefault="00A35F0C" w:rsidP="00A35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и условиях предоставления мер муниципальной поддержки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 проведение капитального ремонта общего имущества в многоквартирных домах, расположенных на территории муниципального образова</w:t>
      </w:r>
      <w:bookmarkStart w:id="0" w:name="_GoBack"/>
      <w:bookmarkEnd w:id="0"/>
      <w:r>
        <w:rPr>
          <w:b/>
          <w:bCs/>
          <w:sz w:val="28"/>
          <w:szCs w:val="28"/>
        </w:rPr>
        <w:t>ния</w:t>
      </w:r>
    </w:p>
    <w:p w:rsidR="00A35F0C" w:rsidRDefault="00A35F0C" w:rsidP="00A35F0C">
      <w:pPr>
        <w:rPr>
          <w:sz w:val="28"/>
          <w:szCs w:val="28"/>
        </w:rPr>
      </w:pPr>
    </w:p>
    <w:p w:rsidR="00A35F0C" w:rsidRDefault="00A35F0C" w:rsidP="00A35F0C">
      <w:pPr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</w:t>
      </w:r>
      <w:proofErr w:type="gramStart"/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и условия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</w:t>
      </w:r>
      <w:r>
        <w:rPr>
          <w:sz w:val="28"/>
          <w:szCs w:val="28"/>
        </w:rPr>
        <w:t>Республики Крым.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Меры муниципальной поддержки на проведение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Республики Крым на 2016-2045 годы, утвержденной постановлением Совета министров Республики Крым от 30 ноября 2015 года № 753 (далее – Региональная программа), включая работы и (или) услуги по капитальному ремонту, проектно-сметные работы и проведение экспертиз, услуги</w:t>
      </w:r>
      <w:proofErr w:type="gramEnd"/>
      <w:r>
        <w:rPr>
          <w:sz w:val="28"/>
          <w:szCs w:val="28"/>
        </w:rPr>
        <w:t xml:space="preserve"> по строительному контролю (проведение технадзора) за выполнением работ по капитальному ремонту,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1.3 Меры муниципальной поддержки на проведение капитального ремонта общего имущества в многоквартирных домах, предоставляемые за счет средств бюджета муниципального образования, предоставляются в рамках реализации Региональной программы.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Меры муниципальной поддержки предоставляются на оказание услуг и (или) выполнение работ по капитальному ремонту общего имущества в многоквартирном доме, перечни которых определены статьей 166 Жилищного кодекса Российской Федерации и Законом Республики Крым от 19декабря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Крым», постановлением Совета министров</w:t>
      </w:r>
      <w:proofErr w:type="gramEnd"/>
      <w:r>
        <w:rPr>
          <w:sz w:val="28"/>
          <w:szCs w:val="28"/>
        </w:rPr>
        <w:t xml:space="preserve"> Республики Крым от 30 ноября 2015 года № 753 «Об утверждении Региональной программы капитального ремонта общего имущества в многоквартирных домах на территории Республики Крым на 2016-2045 годы»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Меры муниципальной поддержки предоставляются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</w:t>
      </w:r>
      <w:r>
        <w:rPr>
          <w:sz w:val="28"/>
          <w:szCs w:val="28"/>
        </w:rPr>
        <w:lastRenderedPageBreak/>
        <w:t>некоммерческой организации «Региональный фонд капитального ремонта многоквартирных домов Республики Крым» за счет средств бюджета ___________________ (далее – Региональный фонд капитального ремонта МКД в РК).</w:t>
      </w:r>
      <w:proofErr w:type="gramEnd"/>
    </w:p>
    <w:p w:rsidR="00A35F0C" w:rsidRDefault="00A35F0C" w:rsidP="00A35F0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1.6. Меры муниципальной поддержки осуществляются в виде субсидий на проведение капитального ремонта общего имущества в многоквартирных домах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Нижнегорского района Республики Крым. 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Порядок и условия предоставления мер муниципальной поддержки на проведение капитального ремонта общего имущества в многоквартирных домах на проведение капитального ремонта общего имущества в многоквартирных домах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настоящим Положением ежегодно определяет объем средств, необходимый для долевого финансирования проведения капитального ремонта на очередной финансовый год.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формирует проект муниципальной программы, содержащей адресный перечень многоквартирных домов, подлежащих капитальному ремонту, виды и предельную стоимость работ, а также источники и объемы финансирования, и в установленном порядке направляет ее на согласование.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2.3. Меры муниципальной поддержки предоставляются в виде субсидий при наличии следующих условий: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а) многоквартирный дом не признан в установленном порядке аварийным и подлежащим сносу или реконструкции;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истечение </w:t>
      </w:r>
      <w:proofErr w:type="gramStart"/>
      <w:r>
        <w:rPr>
          <w:sz w:val="28"/>
          <w:szCs w:val="28"/>
        </w:rPr>
        <w:t>сроков минимальной продолжительности нормативной эксплуатации конструктивных элементов здания</w:t>
      </w:r>
      <w:proofErr w:type="gramEnd"/>
      <w:r>
        <w:rPr>
          <w:sz w:val="28"/>
          <w:szCs w:val="28"/>
        </w:rPr>
        <w:t xml:space="preserve"> и (или) внутридомовых инженерных систем в соответствии с действующими нормами или наличие заключения специализированной организации (по результатам обследования) о необходимости проведения капитального ремонта в многоквартирном доме;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в) включение многоквартирного дома в 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наличие проектно-сметной документации на выполнение работ и (или) услуг по капитальному ремонту многоквартирного дома;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наличие положительного заключения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е) наличие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решение органа местного самоуправления о проведении такого капитального ремонта в соответствии со статьей 189 Жилищного кодекса Российской Федерации.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При формировании фонда капитального ремонта на счете регионального оператора субсидия предоставляется Региональному оператору.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Субсидия предоставляется в соответствии с соглашением 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заключенным между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Региональным оператором в пределах лимитов бюджетных ассигнований и согласно сводной бюджетной росписи,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предусматриваются следующие условия: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а) цели и условия предоставления и расходования субсидии;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эффективности использования субсидии;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обязательная проверка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органами финансового контроля соблюдения Региональным оператором условий, целей и порядка предоставления субсидий;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согласие Регионального оператора на осуществление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органами финансового контроля проверок соблюдения региональным оператором условий, целей и порядка предоставления субсидий.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Перечисление субсидии осуществляется на отдельный банковский счет, открытый Региональным оператором в кредитной организации, при наличии 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следующих документов: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проектно-сметная документация на выполнение работ и (или) услуг по капитальному ремонту многоквартирного дома;</w:t>
      </w:r>
    </w:p>
    <w:p w:rsidR="00A35F0C" w:rsidRDefault="00A35F0C" w:rsidP="00A35F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положительное заключение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</w:t>
      </w:r>
      <w:proofErr w:type="gramEnd"/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проведении такого капитального ремонта в соответствии со статьей 189 Жилищного кодекса Российской Федерации.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При формировании собственниками помещений фонда капитального ремонта на специальных счетах, предназначенных для перечисления средств на проведение капитального ремонта общего имущества в многоквартирных домах (далее - специальные счета), субсидии предоставляются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которые осуществляют управление многоквартирным домом, управляющей организации, региональному оператору, если соответствующей управляющей организации или региональному оператору по решению общего</w:t>
      </w:r>
      <w:proofErr w:type="gramEnd"/>
      <w:r>
        <w:rPr>
          <w:sz w:val="28"/>
          <w:szCs w:val="28"/>
        </w:rPr>
        <w:t xml:space="preserve">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капитального ремонта (далее – лицо, уполномоченное на организацию проведения капитального ремонта).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Субсидия предоставляется в соответствии с соглашением, заключенным между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лицом, уполномоченным на организацию проведения капитального ремонта, которое должно содержать следующие условия: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а) цели и условия предоставления и расходования субсидии;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эффективности использования субсидии;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обязательная проверка органами финансового контроля соблюдения лицом, уполномоченным на организацию проведения капитального ремонта условий, целей и порядка предоставления субсидии;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размер долевого финансирования из бюджета муниципального образования.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2.5.2. Перечисление субсидии осуществляется на отдельный банковский счет, открытый лицом, уполномоченным на организацию проведения капитального ремонта, в кредитной организации, при предоставлении следующих документов: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проектно-сметная документация на выполнение работ и (или) услуг по капитальному ремонту многоквартирного дома;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положительное заключение государственной экспертизы проектной документации в случае, если проведение государственной экспертизы проектной документации предусмотрено законодательством Российской Федерации;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или решение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проведении такого капитального ремонта в соответствии со статьей 189 Жилищного кодекса Российской Федерации.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2.6. Субсидии носят целевой характер и не могут быть использованы на другие цели.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Эффективность использования субсидий оценивается достижением целевых показателей, определенных Региональной программой 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Отчетность о расходовании субсидии и достижении целевых показателей представляется в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ежемесячно в срок не позднее 10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установленных при предоставлении субсидии, и контроль за целевым использованием субсидий осуществляется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и органами финансового контроля в соответствии с законодательством.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Получатели субсидий несут ответственность за нецелевое использование субсидий и достоверность представляемых в соответствии с настоящим разделом 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выявлении факта нецелевого использования субсидии подлежат возврату в бюджет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</w:t>
      </w:r>
      <w:proofErr w:type="gramStart"/>
      <w:r>
        <w:rPr>
          <w:sz w:val="28"/>
          <w:szCs w:val="28"/>
        </w:rPr>
        <w:t>объема долевого финансирования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Объем долевого финансирования проведения капитального ремонта общего имущества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 за счет средств субсидии на проведение капитального ремонта общего имущества в многоквартирных домах муниципального образования (далее - субсидия) рассчитывается по следующей формуле:</w:t>
      </w:r>
    </w:p>
    <w:p w:rsidR="00A35F0C" w:rsidRDefault="00A35F0C" w:rsidP="00A35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х V, где:</w:t>
      </w:r>
    </w:p>
    <w:p w:rsidR="00A35F0C" w:rsidRDefault="00A35F0C" w:rsidP="00A35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– объем долевого финансирования проведения капитального ремонта общего имущества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 за счет средств субсидии, рублей;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 – общий объем субсидии, предусмотренный в бюджете муниципального образования в расчетном периоде, рублей</w:t>
      </w:r>
      <w:proofErr w:type="gramStart"/>
      <w:r>
        <w:rPr>
          <w:sz w:val="28"/>
          <w:szCs w:val="28"/>
        </w:rPr>
        <w:t>.;</w:t>
      </w:r>
      <w:proofErr w:type="gramEnd"/>
    </w:p>
    <w:p w:rsidR="00A35F0C" w:rsidRDefault="00A35F0C" w:rsidP="00A35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удельный вес стоимости капитального ремонта общего имущества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дома, предусмотренного региональной программой, в общей стоимости капитального ремонта в расчетном периоде.</w:t>
      </w:r>
    </w:p>
    <w:p w:rsidR="00A35F0C" w:rsidRDefault="00A35F0C" w:rsidP="00A35F0C">
      <w:pPr>
        <w:jc w:val="both"/>
        <w:rPr>
          <w:sz w:val="28"/>
          <w:szCs w:val="28"/>
        </w:rPr>
      </w:pPr>
      <w:r>
        <w:rPr>
          <w:sz w:val="28"/>
          <w:szCs w:val="28"/>
        </w:rPr>
        <w:t>3.2. Удельный вес стоимости капитального ремонта конкретного конструктивного элемента общего имущества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дома, предусмотренного Региональной программой, в общей стоимости капитального ремонта в расчетном периоде рассчитывается по следующей формуле: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340"/>
        <w:gridCol w:w="1095"/>
        <w:gridCol w:w="1425"/>
      </w:tblGrid>
      <w:tr w:rsidR="00A35F0C" w:rsidTr="00A35F0C">
        <w:trPr>
          <w:jc w:val="center"/>
        </w:trPr>
        <w:tc>
          <w:tcPr>
            <w:tcW w:w="825" w:type="dxa"/>
            <w:vMerge w:val="restart"/>
            <w:vAlign w:val="center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</w:t>
            </w:r>
            <w:proofErr w:type="gramStart"/>
            <w:r>
              <w:rPr>
                <w:i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=</w:t>
            </w:r>
          </w:p>
        </w:tc>
        <w:tc>
          <w:tcPr>
            <w:tcW w:w="2340" w:type="dxa"/>
            <w:vAlign w:val="center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         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S</w:t>
            </w:r>
            <w:r>
              <w:rPr>
                <w:iCs/>
                <w:sz w:val="28"/>
                <w:szCs w:val="28"/>
                <w:u w:val="single"/>
                <w:vertAlign w:val="subscript"/>
                <w:lang w:eastAsia="en-US"/>
              </w:rPr>
              <w:t>i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  х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ПрСт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 xml:space="preserve">         </w:t>
            </w:r>
            <w:r>
              <w:rPr>
                <w:iCs/>
                <w:sz w:val="28"/>
                <w:szCs w:val="28"/>
                <w:u w:val="single"/>
                <w:vertAlign w:val="subscript"/>
                <w:lang w:eastAsia="en-US"/>
              </w:rPr>
              <w:t>i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25" w:type="dxa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A35F0C" w:rsidTr="00A35F0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35F0C" w:rsidRDefault="00A35F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∑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 (</w:t>
            </w:r>
            <w:proofErr w:type="spellStart"/>
            <w:r>
              <w:rPr>
                <w:sz w:val="28"/>
                <w:szCs w:val="28"/>
                <w:lang w:eastAsia="en-US"/>
              </w:rPr>
              <w:t>S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  х </w:t>
            </w:r>
            <w:proofErr w:type="spellStart"/>
            <w:r>
              <w:rPr>
                <w:sz w:val="28"/>
                <w:szCs w:val="28"/>
                <w:lang w:eastAsia="en-US"/>
              </w:rPr>
              <w:t>ПрСт</w:t>
            </w:r>
            <w:r>
              <w:rPr>
                <w:iCs/>
                <w:sz w:val="28"/>
                <w:szCs w:val="28"/>
                <w:vertAlign w:val="subscript"/>
                <w:lang w:eastAsia="en-US"/>
              </w:rPr>
              <w:t>i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 )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35F0C" w:rsidRDefault="00A35F0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hideMark/>
          </w:tcPr>
          <w:p w:rsidR="00A35F0C" w:rsidRDefault="00A35F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 где:</w:t>
            </w:r>
          </w:p>
        </w:tc>
      </w:tr>
    </w:tbl>
    <w:p w:rsidR="00A35F0C" w:rsidRDefault="00A35F0C" w:rsidP="00A35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– площадь жилых и нежилых помещений либо площадь конструктивного элемента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многоквартирного дома, подлежащего капитальному ремонту общего имущества в расчетном периоде,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35F0C" w:rsidRDefault="00A35F0C" w:rsidP="00A35F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ПрСт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размер предельной стоимости проведения капитального ремонта конкретного конструктивного элемента в расчете на один квадратный метр жилых и нежилых помещений либо на один квадратный метр площади конструктивного элемента в многоквартирных домах. Количественная характеристика используется в соответствии с единицами измерения услуг и (или) работ, указанными постановлением Совета министров Республики Крым.</w:t>
      </w:r>
    </w:p>
    <w:p w:rsidR="00A35F0C" w:rsidRDefault="00A35F0C" w:rsidP="00A35F0C">
      <w:pPr>
        <w:jc w:val="both"/>
        <w:rPr>
          <w:sz w:val="28"/>
          <w:szCs w:val="28"/>
        </w:rPr>
      </w:pPr>
    </w:p>
    <w:p w:rsidR="00A35F0C" w:rsidRDefault="00A35F0C" w:rsidP="00A35F0C">
      <w:pPr>
        <w:jc w:val="both"/>
        <w:rPr>
          <w:sz w:val="28"/>
          <w:szCs w:val="28"/>
        </w:rPr>
      </w:pPr>
    </w:p>
    <w:p w:rsidR="00A35F0C" w:rsidRDefault="00A35F0C" w:rsidP="00A35F0C">
      <w:pPr>
        <w:rPr>
          <w:rFonts w:eastAsia="Calibri"/>
          <w:sz w:val="28"/>
          <w:szCs w:val="28"/>
          <w:lang w:eastAsia="en-US"/>
        </w:rPr>
      </w:pPr>
    </w:p>
    <w:p w:rsidR="00A35F0C" w:rsidRDefault="00A35F0C" w:rsidP="00A35F0C">
      <w:pPr>
        <w:pStyle w:val="a4"/>
        <w:jc w:val="both"/>
        <w:rPr>
          <w:sz w:val="28"/>
          <w:szCs w:val="28"/>
        </w:rPr>
      </w:pPr>
    </w:p>
    <w:p w:rsidR="00960FD0" w:rsidRDefault="00960FD0"/>
    <w:sectPr w:rsidR="00960FD0" w:rsidSect="00A35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0C"/>
    <w:rsid w:val="00863423"/>
    <w:rsid w:val="00960FD0"/>
    <w:rsid w:val="00A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F0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35F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F0C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35F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2019-03-11T12:36:00Z</dcterms:created>
  <dcterms:modified xsi:type="dcterms:W3CDTF">2019-03-11T12:38:00Z</dcterms:modified>
</cp:coreProperties>
</file>